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264" w:lineRule="auto"/>
      </w:pPr>
      <w:r>
        <w:rPr>
          <w:rFonts w:ascii="Microsoft YaHei" w:hAnsi="Microsoft YaHei" w:eastAsia="Microsoft YaHei"/>
          <w:b/>
          <w:color w:val="000000"/>
          <w:sz w:val="40"/>
        </w:rPr>
        <w:t>后端工程详细设计</w:t>
      </w:r>
    </w:p>
    <w:p>
      <w:pPr>
        <w:spacing w:after="120" w:line="264" w:lineRule="auto"/>
      </w:pPr>
      <w:r>
        <w:rPr>
          <w:rFonts w:ascii="Microsoft YaHei" w:hAnsi="Microsoft YaHei" w:eastAsia="Microsoft YaHei"/>
          <w:b w:val="0"/>
          <w:color w:val="5A5A5A"/>
          <w:sz w:val="22"/>
        </w:rPr>
        <w:t>服务模块、接口契约、权限、安全与工程落地规范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40"/>
        <w:gridCol w:w="2340"/>
        <w:gridCol w:w="2340"/>
        <w:gridCol w:w="2340"/>
      </w:tblGrid>
      <w:tr>
        <w:tc>
          <w:tcPr>
            <w:tcW w:type="dxa" w:w="1440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版本</w:t>
            </w:r>
          </w:p>
        </w:tc>
        <w:tc>
          <w:tcPr>
            <w:tcW w:type="dxa" w:w="2304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适用阶段</w:t>
            </w:r>
          </w:p>
        </w:tc>
        <w:tc>
          <w:tcPr>
            <w:tcW w:type="dxa" w:w="331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主要读者</w:t>
            </w:r>
          </w:p>
        </w:tc>
        <w:tc>
          <w:tcPr>
            <w:tcW w:type="dxa" w:w="1872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更新时间</w:t>
            </w:r>
          </w:p>
        </w:tc>
      </w:tr>
      <w:tr>
        <w:tc>
          <w:tcPr>
            <w:tcW w:type="dxa" w:w="1440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V1.0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MVP到商业化交付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创始团队、产品、研发、运营、机构合作方</w:t>
            </w:r>
          </w:p>
        </w:tc>
        <w:tc>
          <w:tcPr>
            <w:tcW w:type="dxa" w:w="1872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2026-07-08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服务模块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2016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模块</w:t>
            </w:r>
          </w:p>
        </w:tc>
        <w:tc>
          <w:tcPr>
            <w:tcW w:type="dxa" w:w="3456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职责</w:t>
            </w:r>
          </w:p>
        </w:tc>
        <w:tc>
          <w:tcPr>
            <w:tcW w:type="dxa" w:w="3168"/>
            <w:shd w:fill="F2F4F7"/>
          </w:tcPr>
          <w:p>
            <w:r/>
            <w:r>
              <w:rPr>
                <w:rFonts w:ascii="Microsoft YaHei" w:hAnsi="Microsoft YaHei" w:eastAsia="Microsoft YaHei"/>
                <w:b/>
                <w:sz w:val="20"/>
              </w:rPr>
              <w:t>关键数据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Auth/User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登录、用户、角色、租户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users、roles、tenant_users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Child Profile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儿童档案、成长指标、授权关系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children、measurements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Video/Analysis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上传签名、任务、结果、报告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analysis_tasks、analysis_results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Training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动作库、计划、打卡、复测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exercises、training_plans、training_records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Commerce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套餐、订单、会员权益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products、orders、memberships</w:t>
            </w:r>
          </w:p>
        </w:tc>
      </w:tr>
      <w:tr>
        <w:tc>
          <w:tcPr>
            <w:tcW w:type="dxa" w:w="201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Admin/Ops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运营活动、线索、审计、配置</w:t>
            </w:r>
          </w:p>
        </w:tc>
        <w:tc>
          <w:tcPr>
            <w:tcW w:type="dxa" w:w="3168"/>
            <w:vAlign w:val="center"/>
          </w:tcPr>
          <w:p>
            <w:r/>
            <w:r>
              <w:rPr>
                <w:rFonts w:ascii="Microsoft YaHei" w:hAnsi="Microsoft YaHei" w:eastAsia="Microsoft YaHei"/>
                <w:b w:val="0"/>
                <w:sz w:val="20"/>
              </w:rPr>
              <w:t>campaigns、leads、audit_logs</w:t>
            </w:r>
          </w:p>
        </w:tc>
      </w:tr>
    </w:tbl>
    <w:p>
      <w:pPr>
        <w:spacing w:after="80"/>
      </w:pP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接口设计原则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REST接口统一以/api开头，返回结构包含code、message、data、requestId。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长任务接口只创建任务并返回taskId，状态查询与结果获取分离。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所有写接口进行幂等保护，支付、订单、报告生成等流程必须可追踪。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接口错误码区分参数错误、权限错误、业务冲突、资源不存在和系统异常。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权限与数据安全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租户隔离：机构管理员只能访问本机构数据。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角色权限：家长、教练、运营、管理员按最小权限授权。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儿童数据：手机号、儿童姓名、视频URL等敏感字段加密或脱敏展示。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审计：报告复核、订单退款、权限变更、数据导出必须记录操作者和时间。</w:t>
      </w:r>
    </w:p>
    <w:p>
      <w:pPr>
        <w:pStyle w:val="Heading1"/>
        <w:spacing w:after="120" w:line="264" w:lineRule="auto"/>
      </w:pPr>
      <w:r>
        <w:rPr>
          <w:rFonts w:ascii="Microsoft YaHei" w:hAnsi="Microsoft YaHei" w:eastAsia="Microsoft YaHei"/>
          <w:b/>
          <w:color w:val="2E74B5"/>
          <w:sz w:val="32"/>
        </w:rPr>
        <w:t>工程质量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核心服务覆盖单元测试和接口测试；任务状态机、权限、支付回调需重点测试。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配置按环境隔离，密钥不得进入代码仓库。</w:t>
      </w:r>
    </w:p>
    <w:p>
      <w:pPr>
        <w:pStyle w:val="ListBullet"/>
        <w:spacing w:after="80" w:line="264" w:lineRule="auto"/>
      </w:pPr>
      <w:r>
        <w:rPr>
          <w:rFonts w:ascii="Microsoft YaHei" w:hAnsi="Microsoft YaHei" w:eastAsia="Microsoft YaHei"/>
          <w:b w:val="0"/>
          <w:sz w:val="22"/>
        </w:rPr>
        <w:t>关键链路接入日志、指标和告警。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YaHei" w:hAnsi="Microsoft YaHei" w:eastAsia="Microsoft YaHei"/>
        <w:b w:val="0"/>
        <w:color w:val="5A5A5A"/>
        <w:sz w:val="18"/>
      </w:rPr>
      <w:t>儿童AI体态管理与运动康复平台 商业交付版 V1.0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Microsoft YaHei" w:hAnsi="Microsoft YaHei" w:eastAsia="Microsoft YaHei"/>
        <w:b w:val="0"/>
        <w:color w:val="5A5A5A"/>
        <w:sz w:val="18"/>
      </w:rPr>
      <w:t>后端工程详细设计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