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20" w:line="264" w:lineRule="auto"/>
      </w:pPr>
      <w:r>
        <w:rPr>
          <w:rFonts w:ascii="Microsoft YaHei" w:hAnsi="Microsoft YaHei" w:eastAsia="Microsoft YaHei"/>
          <w:b/>
          <w:color w:val="000000"/>
          <w:sz w:val="40"/>
        </w:rPr>
        <w:t>企业级系统架构设计</w:t>
      </w:r>
    </w:p>
    <w:p>
      <w:pPr>
        <w:spacing w:after="120" w:line="264" w:lineRule="auto"/>
      </w:pPr>
      <w:r>
        <w:rPr>
          <w:rFonts w:ascii="Microsoft YaHei" w:hAnsi="Microsoft YaHei" w:eastAsia="Microsoft YaHei"/>
          <w:b w:val="0"/>
          <w:color w:val="5A5A5A"/>
          <w:sz w:val="22"/>
        </w:rPr>
        <w:t>云原生、队列化AI处理与可扩展机构SaaS架构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340"/>
        <w:gridCol w:w="2340"/>
        <w:gridCol w:w="2340"/>
        <w:gridCol w:w="2340"/>
      </w:tblGrid>
      <w:tr>
        <w:tc>
          <w:tcPr>
            <w:tcW w:type="dxa" w:w="1440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版本</w:t>
            </w:r>
          </w:p>
        </w:tc>
        <w:tc>
          <w:tcPr>
            <w:tcW w:type="dxa" w:w="2304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适用阶段</w:t>
            </w:r>
          </w:p>
        </w:tc>
        <w:tc>
          <w:tcPr>
            <w:tcW w:type="dxa" w:w="3312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主要读者</w:t>
            </w:r>
          </w:p>
        </w:tc>
        <w:tc>
          <w:tcPr>
            <w:tcW w:type="dxa" w:w="1872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更新时间</w:t>
            </w:r>
          </w:p>
        </w:tc>
      </w:tr>
      <w:tr>
        <w:tc>
          <w:tcPr>
            <w:tcW w:type="dxa" w:w="144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V1.0</w:t>
            </w:r>
          </w:p>
        </w:tc>
        <w:tc>
          <w:tcPr>
            <w:tcW w:type="dxa" w:w="230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MVP到商业化交付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创始团队、产品、研发、运营、机构合作方</w:t>
            </w:r>
          </w:p>
        </w:tc>
        <w:tc>
          <w:tcPr>
            <w:tcW w:type="dxa" w:w="187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2026-07-08</w:t>
            </w:r>
          </w:p>
        </w:tc>
      </w:tr>
    </w:tbl>
    <w:p>
      <w:pPr>
        <w:spacing w:after="80"/>
      </w:pP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总体架构</w:t>
      </w:r>
    </w:p>
    <w:p>
      <w:pPr>
        <w:spacing w:after="120" w:line="264" w:lineRule="auto"/>
      </w:pPr>
      <w:r>
        <w:rPr>
          <w:rFonts w:ascii="Microsoft YaHei" w:hAnsi="Microsoft YaHei" w:eastAsia="Microsoft YaHei"/>
          <w:b w:val="0"/>
          <w:sz w:val="22"/>
        </w:rPr>
        <w:t>系统采用分层架构：客户端层、小程序/H5/Web后台；网关层，负责鉴权、限流和审计；业务服务层，负责用户、儿童档案、课程、订单、报告和运营；AI服务层，负责视频处理、姿态识别、指标计算和Agent解释；数据层，负责结构化数据、对象存储、缓存、向量记忆和日志。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20"/>
        <w:gridCol w:w="3120"/>
        <w:gridCol w:w="3120"/>
      </w:tblGrid>
      <w:tr>
        <w:tc>
          <w:tcPr>
            <w:tcW w:type="dxa" w:w="1584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层级</w:t>
            </w:r>
          </w:p>
        </w:tc>
        <w:tc>
          <w:tcPr>
            <w:tcW w:type="dxa" w:w="3168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组件</w:t>
            </w:r>
          </w:p>
        </w:tc>
        <w:tc>
          <w:tcPr>
            <w:tcW w:type="dxa" w:w="3888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说明</w:t>
            </w:r>
          </w:p>
        </w:tc>
      </w:tr>
      <w:tr>
        <w:tc>
          <w:tcPr>
            <w:tcW w:type="dxa" w:w="158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客户端</w:t>
            </w:r>
          </w:p>
        </w:tc>
        <w:tc>
          <w:tcPr>
            <w:tcW w:type="dxa" w:w="316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微信小程序、H5、Web后台</w:t>
            </w:r>
          </w:p>
        </w:tc>
        <w:tc>
          <w:tcPr>
            <w:tcW w:type="dxa" w:w="388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面向家长、教练、运营和管理员</w:t>
            </w:r>
          </w:p>
        </w:tc>
      </w:tr>
      <w:tr>
        <w:tc>
          <w:tcPr>
            <w:tcW w:type="dxa" w:w="158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业务服务</w:t>
            </w:r>
          </w:p>
        </w:tc>
        <w:tc>
          <w:tcPr>
            <w:tcW w:type="dxa" w:w="316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用户、档案、课程、会员、报告、订单</w:t>
            </w:r>
          </w:p>
        </w:tc>
        <w:tc>
          <w:tcPr>
            <w:tcW w:type="dxa" w:w="388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提供稳定REST API</w:t>
            </w:r>
          </w:p>
        </w:tc>
      </w:tr>
      <w:tr>
        <w:tc>
          <w:tcPr>
            <w:tcW w:type="dxa" w:w="158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AI服务</w:t>
            </w:r>
          </w:p>
        </w:tc>
        <w:tc>
          <w:tcPr>
            <w:tcW w:type="dxa" w:w="316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视频Worker、Pose服务、评分服务、Agent服务</w:t>
            </w:r>
          </w:p>
        </w:tc>
        <w:tc>
          <w:tcPr>
            <w:tcW w:type="dxa" w:w="388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异步队列处理，支持水平扩展</w:t>
            </w:r>
          </w:p>
        </w:tc>
      </w:tr>
      <w:tr>
        <w:tc>
          <w:tcPr>
            <w:tcW w:type="dxa" w:w="158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数据设施</w:t>
            </w:r>
          </w:p>
        </w:tc>
        <w:tc>
          <w:tcPr>
            <w:tcW w:type="dxa" w:w="316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MySQL、Redis、OSS、向量库、日志平台</w:t>
            </w:r>
          </w:p>
        </w:tc>
        <w:tc>
          <w:tcPr>
            <w:tcW w:type="dxa" w:w="388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按隐私等级分层存储</w:t>
            </w:r>
          </w:p>
        </w:tc>
      </w:tr>
    </w:tbl>
    <w:p>
      <w:pPr>
        <w:spacing w:after="80"/>
      </w:pP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关键设计原则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业务请求与AI计算解耦，避免长任务阻塞前端。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所有AI输出保留原始关键点、计算指标、模型版本和解释版本，便于追溯。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机构数据按租户隔离，教练只能访问授权儿童和课程。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报告生成采用模板化结构，保证不同渠道展示一致。</w:t>
      </w: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部署拓扑</w:t>
      </w:r>
    </w:p>
    <w:p>
      <w:pPr>
        <w:spacing w:after="120" w:line="264" w:lineRule="auto"/>
      </w:pPr>
      <w:r>
        <w:rPr>
          <w:rFonts w:ascii="Microsoft YaHei" w:hAnsi="Microsoft YaHei" w:eastAsia="Microsoft YaHei"/>
          <w:b w:val="0"/>
          <w:sz w:val="22"/>
        </w:rPr>
        <w:t>MVP可采用单区域部署：Nginx/API网关 + 应用服务 + AI Worker + MySQL + Redis + 对象存储。商业化阶段将AI Worker、视频转码、报告生成拆分为独立队列消费者，并引入灰度发布、监控告警和多环境配置。</w:t>
      </w: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扩展原则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算法模型、评分规则和报告模板版本化，不与业务代码硬编码绑定。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接口优先保持向后兼容；新增字段采用可选方式发布。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高峰上传场景通过队列削峰，超过阈值时前端显示预计等待时间。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Microsoft YaHei" w:hAnsi="Microsoft YaHei" w:eastAsia="Microsoft YaHei"/>
        <w:b w:val="0"/>
        <w:color w:val="5A5A5A"/>
        <w:sz w:val="18"/>
      </w:rPr>
      <w:t>儿童AI体态管理与运动康复平台 商业交付版 V1.0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Microsoft YaHei" w:hAnsi="Microsoft YaHei" w:eastAsia="Microsoft YaHei"/>
        <w:b w:val="0"/>
        <w:color w:val="5A5A5A"/>
        <w:sz w:val="18"/>
      </w:rPr>
      <w:t>企业级系统架构设计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2E74B5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1F4D78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