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after="120" w:line="283" w:lineRule="auto"/>
      </w:pPr>
      <w:r>
        <w:rPr>
          <w:rFonts w:ascii="Microsoft YaHei" w:hAnsi="Microsoft YaHei" w:eastAsia="Microsoft YaHei"/>
          <w:b/>
          <w:color w:val="2E74B5"/>
          <w:sz w:val="36"/>
        </w:rPr>
        <w:t>儿童AI体态管理平台 产品需求文档（PRD）V1.0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 w:val="0"/>
          <w:color w:val="5A5A5A"/>
          <w:sz w:val="20"/>
        </w:rPr>
        <w:t>企业级交付版 · 目标导向、可验收、可排期的产品需求说明</w:t>
      </w:r>
    </w:p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1. 文档说明与范围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 w:val="0"/>
          <w:sz w:val="22"/>
        </w:rPr>
        <w:t>版本：V1.0（2026-07-08）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 w:val="0"/>
          <w:sz w:val="22"/>
        </w:rPr>
        <w:t>本文面向儿童体态管理与运动康复场景，定义从儿童档案、视频采集、AI分析、训练计划、打卡复测、机构运营到合规边界的完整闭环。</w:t>
      </w:r>
    </w:p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2. 产品目标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 w:val="0"/>
          <w:sz w:val="22"/>
        </w:rPr>
        <w:t>本期目标：在医疗安全边界内，提供“可复用、可解释、可追踪”的体态健康服务流程。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04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指标</w:t>
            </w:r>
          </w:p>
        </w:tc>
        <w:tc>
          <w:tcPr>
            <w:tcW w:type="dxa" w:w="3312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定义</w:t>
            </w:r>
          </w:p>
        </w:tc>
        <w:tc>
          <w:tcPr>
            <w:tcW w:type="dxa" w:w="144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当前目标</w:t>
            </w:r>
          </w:p>
        </w:tc>
        <w:tc>
          <w:tcPr>
            <w:tcW w:type="dxa" w:w="2304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口径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分析任务达成率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创建任务后进入PROCESSING并生成报告或可解释失败的比例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&gt;=90%（前2周）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以任务提交后72小时窗口去重统计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报告查看率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家长登录后查看报告的比例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&gt;=80%（30分钟内）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建模为 report_id 产生后首次查看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训练任务完成率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训练计划中标记完成的任务数/计划总任务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&gt;=60%（14天）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以plan_id聚合口径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训练后复测率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周期内完成复测任务的儿童比例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&gt;=50%（60天）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以报告对比组口径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课程转化率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看完报告并进入课程或会员的比例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&gt;=20%（试点阶段）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childId去重</w:t>
            </w:r>
          </w:p>
        </w:tc>
      </w:tr>
    </w:tbl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3. 非功能约束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报告输出必须包含风险等级、关键点摘要、建议动作、复测周期，且每条建议均可追溯到输入字段。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所有“医疗表述”必须经过提示词边界过滤，不允许出现确诊、治疗、治愈等词。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核心接口平均P95响应不超过800ms（列表/查询类），AI分析链路异步化且任务平均完成时长&lt;=5分钟（同等条件下）。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日志与敏感操作保留最少180天可回溯数据，报告与视频产物按业务策略归档。</w:t>
      </w:r>
    </w:p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4. 用户场景与需求优先级（MoSCoW）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584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优先级</w:t>
            </w:r>
          </w:p>
        </w:tc>
        <w:tc>
          <w:tcPr>
            <w:tcW w:type="dxa" w:w="3168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角色</w:t>
            </w:r>
          </w:p>
        </w:tc>
        <w:tc>
          <w:tcPr>
            <w:tcW w:type="dxa" w:w="4464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需求</w:t>
            </w:r>
          </w:p>
        </w:tc>
        <w:tc>
          <w:tcPr>
            <w:tcW w:type="dxa" w:w="3312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验收标准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Must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快速完成建档并上传合格视频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2分钟内完成建档+视频上传并进入分析队列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Must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理解报告并得到训练建议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报告页展示指标-解释-建议-风险提示，且无医疗诊断术语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Must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教练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对AI报告进行复核并生成课程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复核后7分钟内能关联课程并下发家长端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Should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机构运营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从线索到成交形成可追踪漏斗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按渠道查看咨询、转化、成交数据，按周汇总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Could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查看趋势图并做复测对比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连续两次报告可按维度对比，支持导出/截图</w:t>
            </w:r>
          </w:p>
        </w:tc>
      </w:tr>
    </w:tbl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5. 关键用户故事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/>
          <w:sz w:val="22"/>
        </w:rPr>
        <w:t>家长端场景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用户故事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输入条件</w:t>
            </w:r>
          </w:p>
        </w:tc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预期结果</w:t>
            </w:r>
          </w:p>
        </w:tc>
        <w:tc>
          <w:tcPr>
            <w:tcW w:type="dxa" w:w="4032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验收要点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作为家长，我想快速确认孩子体态问题并得到建议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完成建档+上传1段站姿/动作视频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在首页可看到报告进度并在完成后查看结论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1小时内可见报告摘要；报告可追溯到拍摄视频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作为家长，我想知道后续安排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收到计划与训练提醒后开始打卡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每日学习流程可执行并产生打卡数据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出现连续2次未打卡触发提醒</w:t>
            </w:r>
          </w:p>
        </w:tc>
      </w:tr>
    </w:tbl>
    <w:p>
      <w:pPr>
        <w:spacing w:after="120" w:line="283" w:lineRule="auto"/>
      </w:pPr>
      <w:r>
        <w:rPr>
          <w:rFonts w:ascii="Microsoft YaHei" w:hAnsi="Microsoft YaHei" w:eastAsia="Microsoft YaHei"/>
          <w:b/>
          <w:sz w:val="22"/>
        </w:rPr>
        <w:t>教练端场景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用户故事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输入条件</w:t>
            </w:r>
          </w:p>
        </w:tc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预期结果</w:t>
            </w:r>
          </w:p>
        </w:tc>
        <w:tc>
          <w:tcPr>
            <w:tcW w:type="dxa" w:w="4032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验收要点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作为教练，我要修正AI结论并给出更安全建议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AI报告存在重拍或疑似风险提示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可编辑建议文本并记录复核意见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复核记录写入审计日志并更新报告版本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作为教练，我要管理任务执行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计划下发后查看打卡和反馈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支持按儿童和日期过滤追踪</w:t>
            </w:r>
          </w:p>
        </w:tc>
        <w:tc>
          <w:tcPr>
            <w:tcW w:type="dxa" w:w="403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缺失数据有催办提醒</w:t>
            </w:r>
          </w:p>
        </w:tc>
      </w:tr>
    </w:tbl>
    <w:p>
      <w:pPr>
        <w:spacing w:after="120" w:line="283" w:lineRule="auto"/>
      </w:pPr>
      <w:r>
        <w:rPr>
          <w:rFonts w:ascii="Microsoft YaHei" w:hAnsi="Microsoft YaHei" w:eastAsia="Microsoft YaHei"/>
          <w:b/>
          <w:sz w:val="22"/>
        </w:rPr>
        <w:t>运营场景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用户故事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输入条件</w:t>
            </w:r>
          </w:p>
        </w:tc>
        <w:tc>
          <w:tcPr>
            <w:tcW w:type="dxa" w:w="432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预期结果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验收要点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作为运营，我要判断投放效果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活动二维码绑定到线索并入场景看板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按渠道看到线索→咨询→课程转化漏斗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可按天/月导出</w:t>
            </w:r>
          </w:p>
        </w:tc>
      </w:tr>
      <w:tr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作为运营，我要保证服务连贯性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教练与机构切换人员时需交接儿童训练状态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交接后可继续查看未完成任务与复测提醒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状态不丢失</w:t>
            </w:r>
          </w:p>
        </w:tc>
      </w:tr>
    </w:tbl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6. 功能边界与范围（In/Out）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In：AI姿态筛查、报告生成、训练计划、打卡、复测、机构看板、权限与审计。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Out：医疗诊断、远程处方、药物建议、非授权第三方数据共享。</w:t>
      </w:r>
    </w:p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7. 需求澄清项与依赖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依赖项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责任人</w:t>
            </w:r>
          </w:p>
        </w:tc>
        <w:tc>
          <w:tcPr>
            <w:tcW w:type="dxa" w:w="2880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说明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小程序/微信鉴权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平台侧</w:t>
            </w:r>
          </w:p>
        </w:tc>
        <w:tc>
          <w:tcPr>
            <w:tcW w:type="dxa" w:w="3120"/>
          </w:tcPr>
          <w:p/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支付链路对接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第三方支付商</w:t>
            </w:r>
          </w:p>
        </w:tc>
        <w:tc>
          <w:tcPr>
            <w:tcW w:type="dxa" w:w="3120"/>
          </w:tcPr>
          <w:p/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对象存储与转码服务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基础设施团队</w:t>
            </w:r>
          </w:p>
        </w:tc>
        <w:tc>
          <w:tcPr>
            <w:tcW w:type="dxa" w:w="3120"/>
          </w:tcPr>
          <w:p/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法规与隐私合规模板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法务/合规</w:t>
            </w:r>
          </w:p>
        </w:tc>
        <w:tc>
          <w:tcPr>
            <w:tcW w:type="dxa" w:w="3120"/>
          </w:tcPr>
          <w:p/>
        </w:tc>
      </w:tr>
    </w:tbl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8. 验收与里程碑</w:t>
      </w:r>
    </w:p>
    <w:p>
      <w:pPr>
        <w:spacing w:after="120" w:line="283" w:lineRule="auto"/>
      </w:pPr>
      <w:r>
        <w:rPr>
          <w:rFonts w:ascii="Microsoft YaHei" w:hAnsi="Microsoft YaHei" w:eastAsia="Microsoft YaHei"/>
          <w:b w:val="0"/>
          <w:sz w:val="22"/>
        </w:rPr>
        <w:t>里程碑与验收动作按三层推进：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P0（1周）：完成需求冻结、接口草案与风险清单（Must条目100%覆盖）。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P1（4-6周）：完成MVP功能闭环（建档、视频上传、AI任务、报告、教练复核、课程下发）。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P2（8周）：完成试点验收，形成SOP并通过复测率/转化率验收指标。</w:t>
      </w:r>
    </w:p>
    <w:p>
      <w:pPr>
        <w:pStyle w:val="Heading2"/>
        <w:spacing w:after="120" w:line="283" w:lineRule="auto"/>
      </w:pPr>
      <w:r>
        <w:rPr>
          <w:rFonts w:ascii="Microsoft YaHei" w:hAnsi="Microsoft YaHei" w:eastAsia="Microsoft YaHei"/>
          <w:b/>
          <w:color w:val="1F4D78"/>
          <w:sz w:val="28"/>
        </w:rPr>
        <w:t>9. 风险与应对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数据质量风险：视频欠佳导致关键点误差。应对：提示重拍、质量检测阈值与人工复核兜底。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隐私风险：未成年人数据管理不严。应对：家长授权、数据脱敏、审计留痕、定期抽检。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算法误判风险：过度建议。应对：置信度低于阈值则降级输出并显式提示线下评估。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运营风险：留存与复测率不达标。应对：周期提醒+激励+教练复核催办机制。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